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39" w:type="dxa"/>
        <w:jc w:val="center"/>
        <w:tblLook w:val="04A0"/>
      </w:tblPr>
      <w:tblGrid>
        <w:gridCol w:w="4077"/>
        <w:gridCol w:w="1031"/>
        <w:gridCol w:w="3931"/>
      </w:tblGrid>
      <w:tr w:rsidR="005873A0" w:rsidRPr="00B36B3A" w:rsidTr="00167A36">
        <w:trPr>
          <w:jc w:val="center"/>
        </w:trPr>
        <w:tc>
          <w:tcPr>
            <w:tcW w:w="4077" w:type="dxa"/>
          </w:tcPr>
          <w:p w:rsidR="005873A0" w:rsidRPr="00B36B3A" w:rsidRDefault="005873A0" w:rsidP="00167A36">
            <w:pPr>
              <w:shd w:val="clear" w:color="auto" w:fill="FFFFFF"/>
              <w:tabs>
                <w:tab w:val="left" w:pos="-6502"/>
              </w:tabs>
              <w:ind w:left="23" w:righ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1" w:type="dxa"/>
          </w:tcPr>
          <w:p w:rsidR="005873A0" w:rsidRPr="00B36B3A" w:rsidRDefault="005873A0" w:rsidP="00167A36">
            <w:pPr>
              <w:shd w:val="clear" w:color="auto" w:fill="FFFFFF"/>
              <w:ind w:left="24" w:right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5873A0" w:rsidRDefault="005873A0" w:rsidP="00167A36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5873A0" w:rsidRPr="00B36B3A" w:rsidRDefault="005873A0" w:rsidP="00167A36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73A0" w:rsidRPr="00B36B3A" w:rsidRDefault="005873A0" w:rsidP="00167A36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Председатель комитета по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лбразованию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Ульчского муниципального района</w:t>
            </w:r>
          </w:p>
          <w:p w:rsidR="005873A0" w:rsidRPr="00B36B3A" w:rsidRDefault="005873A0" w:rsidP="00167A36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73A0" w:rsidRPr="00B36B3A" w:rsidRDefault="005873A0" w:rsidP="00167A36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73A0" w:rsidRPr="00B36B3A" w:rsidRDefault="005873A0" w:rsidP="00167A36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Криксин</w:t>
            </w:r>
            <w:proofErr w:type="spellEnd"/>
          </w:p>
          <w:p w:rsidR="005873A0" w:rsidRPr="00B36B3A" w:rsidRDefault="005873A0" w:rsidP="00167A36">
            <w:pPr>
              <w:ind w:right="5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73A0" w:rsidRDefault="005873A0" w:rsidP="005873A0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5873A0" w:rsidRDefault="005873A0" w:rsidP="005873A0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5873A0" w:rsidRDefault="005873A0" w:rsidP="005873A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873A0" w:rsidRPr="00B36B3A" w:rsidRDefault="005873A0" w:rsidP="005873A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873A0" w:rsidRPr="00B36B3A" w:rsidRDefault="005873A0" w:rsidP="005873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Программе наставничества в образовательных организациях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 муниципального района Хабаровского края</w:t>
      </w:r>
    </w:p>
    <w:p w:rsidR="005873A0" w:rsidRDefault="005873A0" w:rsidP="005873A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Pr="00BC75F0" w:rsidRDefault="005873A0" w:rsidP="005873A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Pr="00BC75F0" w:rsidRDefault="005873A0" w:rsidP="005873A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Область применения Положения о Программе наставничества в образовательных организациях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 района</w:t>
      </w:r>
    </w:p>
    <w:p w:rsidR="005873A0" w:rsidRPr="00BC75F0" w:rsidRDefault="005873A0" w:rsidP="005873A0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Pr="00BC75F0" w:rsidRDefault="005873A0" w:rsidP="00587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Ульчского района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необходимость которых обусловлена реализацией региональной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(целевой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  <w:proofErr w:type="gramEnd"/>
    </w:p>
    <w:p w:rsidR="005873A0" w:rsidRPr="00BC75F0" w:rsidRDefault="005873A0" w:rsidP="005873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87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Положение </w:t>
      </w:r>
      <w:r w:rsidRPr="005873A0">
        <w:rPr>
          <w:rFonts w:ascii="Times New Roman" w:hAnsi="Times New Roman" w:cs="Times New Roman"/>
          <w:bCs/>
          <w:sz w:val="28"/>
          <w:szCs w:val="28"/>
        </w:rPr>
        <w:t>подлежит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применению всеми образовательными организациями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Ульчского района, подведомственными Министерству образования и науки Хабаровского края, реализующими региональную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другими лицами, участвующими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мероприятиях, связанных с реализацией указанной методологии (среди них конкурсы, форумы, семинары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практики, стажировки и др.).</w:t>
      </w:r>
    </w:p>
    <w:p w:rsidR="005873A0" w:rsidRPr="00BC75F0" w:rsidRDefault="005873A0" w:rsidP="005873A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73A0" w:rsidRPr="00D71A98" w:rsidRDefault="005873A0" w:rsidP="005873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разработки Положения о Программе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образовательных организациях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 района</w:t>
      </w:r>
    </w:p>
    <w:p w:rsidR="005873A0" w:rsidRPr="00D71A98" w:rsidRDefault="005873A0" w:rsidP="005873A0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73A0" w:rsidRPr="00D71A98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подготовлено на основе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73A0" w:rsidRPr="00D71A98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5873A0" w:rsidRPr="00D71A98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873A0" w:rsidRPr="00D71A98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5873A0" w:rsidRPr="00D71A98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5873A0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5873A0" w:rsidRPr="00D760D1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5873A0" w:rsidRPr="00D760D1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5873A0" w:rsidRPr="00D71A98" w:rsidRDefault="005873A0" w:rsidP="005873A0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5873A0" w:rsidRPr="00D71A98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5873A0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</w:t>
      </w:r>
      <w:r>
        <w:rPr>
          <w:rFonts w:ascii="Times New Roman" w:hAnsi="Times New Roman" w:cs="Times New Roman"/>
          <w:sz w:val="28"/>
          <w:szCs w:val="28"/>
        </w:rPr>
        <w:t>ского края от 30.04.2020 № 461 «</w:t>
      </w:r>
      <w:r w:rsidRPr="00BE6B89">
        <w:rPr>
          <w:rFonts w:ascii="Times New Roman" w:hAnsi="Times New Roman" w:cs="Times New Roman"/>
          <w:sz w:val="28"/>
          <w:szCs w:val="28"/>
        </w:rPr>
        <w:t>Об участии края в реализации проектов автономной некоммерческой орга</w:t>
      </w:r>
      <w:r>
        <w:rPr>
          <w:rFonts w:ascii="Times New Roman" w:hAnsi="Times New Roman" w:cs="Times New Roman"/>
          <w:sz w:val="28"/>
          <w:szCs w:val="28"/>
        </w:rPr>
        <w:t>низации «</w:t>
      </w:r>
      <w:r w:rsidRPr="00BE6B89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</w:t>
      </w:r>
      <w:r>
        <w:rPr>
          <w:rFonts w:ascii="Times New Roman" w:hAnsi="Times New Roman" w:cs="Times New Roman"/>
          <w:sz w:val="28"/>
          <w:szCs w:val="28"/>
        </w:rPr>
        <w:t>ектов»»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13.05.2020 № </w:t>
      </w:r>
      <w:r>
        <w:rPr>
          <w:rFonts w:ascii="Times New Roman" w:hAnsi="Times New Roman" w:cs="Times New Roman"/>
          <w:sz w:val="28"/>
          <w:szCs w:val="28"/>
        </w:rPr>
        <w:t>473-рп «О закреплении компетенций «</w:t>
      </w:r>
      <w:proofErr w:type="spellStart"/>
      <w:r w:rsidRPr="00BE6B8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за органами исполнит</w:t>
      </w:r>
      <w:r>
        <w:rPr>
          <w:rFonts w:ascii="Times New Roman" w:hAnsi="Times New Roman" w:cs="Times New Roman"/>
          <w:sz w:val="28"/>
          <w:szCs w:val="28"/>
        </w:rPr>
        <w:t>ельной власти Хабаровского края»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07.10.2019 № </w:t>
      </w:r>
      <w:r>
        <w:rPr>
          <w:rFonts w:ascii="Times New Roman" w:hAnsi="Times New Roman" w:cs="Times New Roman"/>
          <w:sz w:val="28"/>
          <w:szCs w:val="28"/>
        </w:rPr>
        <w:t>840-рп «</w:t>
      </w:r>
      <w:r w:rsidRPr="00BE6B89">
        <w:rPr>
          <w:rFonts w:ascii="Times New Roman" w:hAnsi="Times New Roman" w:cs="Times New Roman"/>
          <w:sz w:val="28"/>
          <w:szCs w:val="28"/>
        </w:rPr>
        <w:t>О национальном проекте "Образование" в Хабаровском крае: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кадров для промышленного роста»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B8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Хабаровского края «</w:t>
      </w:r>
      <w:r w:rsidRPr="00BE6B89">
        <w:rPr>
          <w:rFonts w:ascii="Times New Roman" w:hAnsi="Times New Roman" w:cs="Times New Roman"/>
          <w:sz w:val="28"/>
          <w:szCs w:val="28"/>
        </w:rPr>
        <w:t>Развитие молодеж</w:t>
      </w:r>
      <w:r>
        <w:rPr>
          <w:rFonts w:ascii="Times New Roman" w:hAnsi="Times New Roman" w:cs="Times New Roman"/>
          <w:sz w:val="28"/>
          <w:szCs w:val="28"/>
        </w:rPr>
        <w:t>ной политики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6B8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E6B8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Хабаровского края от 05.12.2016 № 445-пр);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от 29.05.2020 № 530 «</w:t>
      </w:r>
      <w:r w:rsidRPr="00BE6B8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краевого смотра-конкурса «Работай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6B89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мер, направленных на совершенствование системы среднего профессионального образования Хабаровского края, на 2020–2024 годы (</w:t>
      </w:r>
      <w:proofErr w:type="gramStart"/>
      <w:r w:rsidRPr="00BE6B89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BE6B8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Хабаровского края от 31.03.2020№ 300-рп);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E6B89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5873A0" w:rsidRPr="00BE6B89" w:rsidRDefault="005873A0" w:rsidP="005873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B8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мероприятий по реализации дорожной </w:t>
      </w:r>
      <w:proofErr w:type="gramStart"/>
      <w:r w:rsidRPr="00BE6B89">
        <w:rPr>
          <w:rFonts w:ascii="Times New Roman" w:hAnsi="Times New Roman" w:cs="Times New Roman"/>
          <w:sz w:val="28"/>
          <w:szCs w:val="28"/>
        </w:rPr>
        <w:t>карты внедрения Регионального стандарта кадрового обеспечения промышленного роста Хабаровского</w:t>
      </w:r>
      <w:proofErr w:type="gramEnd"/>
      <w:r w:rsidRPr="00BE6B89">
        <w:rPr>
          <w:rFonts w:ascii="Times New Roman" w:hAnsi="Times New Roman" w:cs="Times New Roman"/>
          <w:sz w:val="28"/>
          <w:szCs w:val="28"/>
        </w:rPr>
        <w:t xml:space="preserve"> края (утвержден распоряжением министерства образования и науки Хабаровского края от 18.01.2017</w:t>
      </w:r>
      <w:r>
        <w:rPr>
          <w:rFonts w:ascii="Times New Roman" w:hAnsi="Times New Roman" w:cs="Times New Roman"/>
          <w:sz w:val="28"/>
          <w:szCs w:val="28"/>
        </w:rPr>
        <w:t xml:space="preserve"> № 40).</w:t>
      </w:r>
    </w:p>
    <w:p w:rsidR="005873A0" w:rsidRPr="00B36B3A" w:rsidRDefault="005873A0" w:rsidP="005873A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Pr="00B36B3A" w:rsidRDefault="005873A0" w:rsidP="005873A0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873A0" w:rsidRPr="00372E75" w:rsidRDefault="005873A0" w:rsidP="005873A0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— универсальная технология передачи опыта, знаний,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навыков, компетенций,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метакомпетенций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ценностей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неформальное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взаимообогащающее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на доверии и партнерстве.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проходит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линией в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включающем в себя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10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«Современная школа», «Успех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каждого ребёнка», «Учитель будущего», «Молодые профессионалы (повышение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 профессионального образования)»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, в каждом из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тема наставничества по-своему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актуализирована.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В целях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езультата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разработана и утверждена методология (целевая модель)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образования, в том числе с применением лучших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практик обмена опытом между </w:t>
      </w:r>
      <w:proofErr w:type="gram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названной федеральной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Хабаровского края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утверждена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методология (целевая модель)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Хабаровском крае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РЦМН ХК–региональная ц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елевая модель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873A0" w:rsidRPr="000B4ACD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РЦМН ХК </w:t>
      </w:r>
      <w:r w:rsidRPr="009900C8">
        <w:rPr>
          <w:rFonts w:ascii="Times New Roman" w:hAnsi="Times New Roman" w:cs="Times New Roman"/>
          <w:sz w:val="28"/>
          <w:szCs w:val="28"/>
        </w:rPr>
        <w:t>представлена система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процессом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раскрыты приоритетные формы наставничества, указаны целевые показатели реализации наставничества в регионе и система мониторинга их достижения, а также   </w:t>
      </w:r>
      <w:r w:rsidRPr="000B4ACD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3A0">
        <w:rPr>
          <w:rFonts w:ascii="Times New Roman" w:hAnsi="Times New Roman" w:cs="Times New Roman"/>
          <w:color w:val="000000"/>
          <w:sz w:val="28"/>
          <w:szCs w:val="28"/>
        </w:rPr>
        <w:t>Под программой наставничества следует понимать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результатов, в том числе «устранения дефицитов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разделы, раскрывающие взаимодействие пары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наставник-наставляемый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по любой из 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форм: </w:t>
      </w:r>
      <w:r>
        <w:rPr>
          <w:rFonts w:ascii="Times New Roman" w:eastAsia="Times New Roman" w:hAnsi="Times New Roman" w:cs="Times New Roman"/>
          <w:sz w:val="28"/>
          <w:szCs w:val="28"/>
        </w:rPr>
        <w:t>«педагог-педагог»,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педагог-обучающийся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«обучающийся-обучающийся», 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FC2">
        <w:rPr>
          <w:rFonts w:ascii="Times New Roman" w:hAnsi="Times New Roman" w:cs="Times New Roman"/>
          <w:sz w:val="28"/>
          <w:szCs w:val="28"/>
        </w:rPr>
        <w:t>акие формы наставничества будут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в конкретной образовательной организации, </w:t>
      </w:r>
      <w:r w:rsidRP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2FC2">
        <w:rPr>
          <w:rFonts w:ascii="Times New Roman" w:hAnsi="Times New Roman" w:cs="Times New Roman"/>
          <w:sz w:val="28"/>
          <w:szCs w:val="28"/>
        </w:rPr>
        <w:t>. В образовательной организации может быть реализована как одна форма, так и несколько форм наставничества.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указанных форм решает </w:t>
      </w:r>
      <w:r w:rsidRPr="00FC2FC2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FC2">
        <w:rPr>
          <w:rFonts w:ascii="Times New Roman" w:hAnsi="Times New Roman" w:cs="Times New Roman"/>
          <w:sz w:val="28"/>
          <w:szCs w:val="28"/>
        </w:rPr>
        <w:t xml:space="preserve"> круг проблем с учетом ступени обучения, профессиональной деятельности и первоначальных ключевых запросов участников программы. </w:t>
      </w:r>
      <w:r>
        <w:rPr>
          <w:rFonts w:ascii="Times New Roman" w:hAnsi="Times New Roman" w:cs="Times New Roman"/>
          <w:sz w:val="28"/>
          <w:szCs w:val="28"/>
        </w:rPr>
        <w:t>В РЦМН ХК выдвигаются приоритетными следующие формы наставничества: «учитель–</w:t>
      </w:r>
      <w:r w:rsidRPr="00F43A72">
        <w:rPr>
          <w:rFonts w:ascii="Times New Roman" w:hAnsi="Times New Roman" w:cs="Times New Roman"/>
          <w:sz w:val="28"/>
          <w:szCs w:val="28"/>
        </w:rPr>
        <w:t>учитель/</w:t>
      </w:r>
      <w:r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Pr="00F43A7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«учитель–</w:t>
      </w:r>
      <w:r w:rsidRPr="00F43A72">
        <w:rPr>
          <w:rFonts w:ascii="Times New Roman" w:hAnsi="Times New Roman" w:cs="Times New Roman"/>
          <w:sz w:val="28"/>
          <w:szCs w:val="28"/>
        </w:rPr>
        <w:t>ученик/</w:t>
      </w:r>
      <w:r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Pr="00F43A7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«ученик-</w:t>
      </w:r>
      <w:r w:rsidRPr="00F43A72">
        <w:rPr>
          <w:rFonts w:ascii="Times New Roman" w:hAnsi="Times New Roman" w:cs="Times New Roman"/>
          <w:sz w:val="28"/>
          <w:szCs w:val="28"/>
        </w:rPr>
        <w:t>ученик/</w:t>
      </w:r>
      <w:r>
        <w:rPr>
          <w:rFonts w:ascii="Times New Roman" w:hAnsi="Times New Roman" w:cs="Times New Roman"/>
          <w:sz w:val="28"/>
          <w:szCs w:val="28"/>
        </w:rPr>
        <w:t xml:space="preserve"> студент–</w:t>
      </w:r>
      <w:r w:rsidRPr="00F43A7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«студент–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«работодатель–</w:t>
      </w:r>
      <w:r w:rsidRPr="00F43A72">
        <w:rPr>
          <w:rFonts w:ascii="Times New Roman" w:hAnsi="Times New Roman" w:cs="Times New Roman"/>
          <w:sz w:val="28"/>
          <w:szCs w:val="28"/>
        </w:rPr>
        <w:t>ученик/студент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форм включает в себя несколько вариантов наставничества, обусловленных спецификой «дефицита»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наставляемого. Например: </w:t>
      </w:r>
    </w:p>
    <w:p w:rsidR="005873A0" w:rsidRPr="00AD79B1" w:rsidRDefault="005873A0" w:rsidP="005873A0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>форма «учитель-учитель (молодой специалист)», «учитель-учитель (вновь прибывший в коллектив)», «учитель-учитель (не имеющий педагогического образования)» и т.п.;</w:t>
      </w:r>
    </w:p>
    <w:p w:rsidR="005873A0" w:rsidRPr="00AD79B1" w:rsidRDefault="005873A0" w:rsidP="005873A0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 xml:space="preserve">форма «учитель-ученик (обучающийся с ОВЗ)», «учитель-ученик </w:t>
      </w:r>
      <w:r>
        <w:rPr>
          <w:rFonts w:ascii="Times New Roman" w:hAnsi="Times New Roman" w:cs="Times New Roman"/>
          <w:sz w:val="28"/>
          <w:szCs w:val="28"/>
        </w:rPr>
        <w:t>(способный к участию в олимпиаде</w:t>
      </w:r>
      <w:r w:rsidRPr="00AD79B1">
        <w:rPr>
          <w:rFonts w:ascii="Times New Roman" w:hAnsi="Times New Roman" w:cs="Times New Roman"/>
          <w:sz w:val="28"/>
          <w:szCs w:val="28"/>
        </w:rPr>
        <w:t>)», «учитель-ученик (часто и длительно болеющий)» и т.п.;</w:t>
      </w:r>
    </w:p>
    <w:p w:rsidR="005873A0" w:rsidRPr="00AD79B1" w:rsidRDefault="005873A0" w:rsidP="005873A0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D79B1">
        <w:rPr>
          <w:rFonts w:ascii="Times New Roman" w:hAnsi="Times New Roman" w:cs="Times New Roman"/>
          <w:sz w:val="28"/>
          <w:szCs w:val="28"/>
        </w:rPr>
        <w:t>орма «студент-ученик (готовящийся к поступлению в вуз) и т.п.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43A72">
        <w:rPr>
          <w:rFonts w:ascii="Times New Roman" w:hAnsi="Times New Roman" w:cs="Times New Roman"/>
          <w:sz w:val="28"/>
          <w:szCs w:val="28"/>
        </w:rPr>
        <w:t xml:space="preserve">ели и задачи, которые возможно выполнить в рамках конкретной </w:t>
      </w:r>
      <w:r>
        <w:rPr>
          <w:rFonts w:ascii="Times New Roman" w:hAnsi="Times New Roman" w:cs="Times New Roman"/>
          <w:sz w:val="28"/>
          <w:szCs w:val="28"/>
        </w:rPr>
        <w:t>программы, образовательная организация определяет самостоятельно.</w:t>
      </w:r>
    </w:p>
    <w:p w:rsidR="005873A0" w:rsidRPr="00073461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Pr="005873A0">
        <w:rPr>
          <w:rFonts w:ascii="Times New Roman" w:hAnsi="Times New Roman" w:cs="Times New Roman"/>
          <w:sz w:val="28"/>
          <w:szCs w:val="28"/>
        </w:rPr>
        <w:t>2-7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073461">
        <w:rPr>
          <w:rFonts w:ascii="Times New Roman" w:hAnsi="Times New Roman" w:cs="Times New Roman"/>
          <w:sz w:val="28"/>
          <w:szCs w:val="28"/>
        </w:rPr>
        <w:t xml:space="preserve"> представлены примерные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346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3461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34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073461">
        <w:rPr>
          <w:rFonts w:ascii="Times New Roman" w:hAnsi="Times New Roman" w:cs="Times New Roman"/>
          <w:sz w:val="28"/>
          <w:szCs w:val="28"/>
        </w:rPr>
        <w:t>которые могут быть использованы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3A0" w:rsidRPr="00372E75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4. 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Оформление и содержание структурных элементов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Ульчскогорайона</w:t>
      </w:r>
      <w:proofErr w:type="spellEnd"/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>следующие структурные элементы: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Титульный лист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(полная отдельная страница)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1. Общие положения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(цели, задачи наставничества в избранной форме, с  уточнением специфики устраняемого «дефицита») 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(наставника, наставляемого, куратора в случае надобности)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наставник-наставляемый</w:t>
      </w:r>
      <w:proofErr w:type="spellEnd"/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регламентирующих реализацию 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программынаставничества</w:t>
      </w:r>
      <w:proofErr w:type="spellEnd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Перечень документов, регламентирующих реализацию 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программынаставничества</w:t>
      </w:r>
      <w:proofErr w:type="spellEnd"/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/>
          <w:iCs/>
          <w:sz w:val="28"/>
          <w:szCs w:val="28"/>
        </w:rPr>
        <w:t xml:space="preserve">Титульный лист </w:t>
      </w:r>
      <w:r w:rsidRPr="005873A0">
        <w:rPr>
          <w:rFonts w:ascii="Times New Roman" w:hAnsi="Times New Roman" w:cs="Times New Roman"/>
          <w:iCs/>
          <w:sz w:val="28"/>
          <w:szCs w:val="28"/>
        </w:rPr>
        <w:t xml:space="preserve">(оформление и структура </w:t>
      </w:r>
      <w:proofErr w:type="gramStart"/>
      <w:r w:rsidRPr="005873A0">
        <w:rPr>
          <w:rFonts w:ascii="Times New Roman" w:hAnsi="Times New Roman" w:cs="Times New Roman"/>
          <w:iCs/>
          <w:sz w:val="28"/>
          <w:szCs w:val="28"/>
        </w:rPr>
        <w:t>показаны</w:t>
      </w:r>
      <w:proofErr w:type="gramEnd"/>
      <w:r w:rsidRPr="005873A0">
        <w:rPr>
          <w:rFonts w:ascii="Times New Roman" w:hAnsi="Times New Roman" w:cs="Times New Roman"/>
          <w:iCs/>
          <w:sz w:val="28"/>
          <w:szCs w:val="28"/>
        </w:rPr>
        <w:t xml:space="preserve"> в приложении 1)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>Указывается полное название образовательной организации согласно уставу образовательной организации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>форма наставничества с уточнением варианта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>Сроки реализации программы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>ФИО наставника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 xml:space="preserve">ФИО </w:t>
      </w:r>
      <w:proofErr w:type="gramStart"/>
      <w:r w:rsidRPr="005873A0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>ФИО куратора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73A0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</w:t>
      </w:r>
    </w:p>
    <w:p w:rsidR="005873A0" w:rsidRP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Общие положения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содержит основные характеристики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наставничества в образовательной организации.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>Наставничество как универсальная технология передачи опыта, умений, знаний, навыков может решать различные задачи. Образовательная организация,</w:t>
      </w:r>
      <w:r w:rsidR="00233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учитывая свои особенности, определяет на устранение каких «дефицитов» может</w:t>
      </w:r>
      <w:r w:rsidR="00233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быть направлена программа наставничества.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этом разделе должны быть раскрыты: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которые образовательная организация собирается решать с</w:t>
      </w:r>
      <w:r w:rsidR="00233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помощью программы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специфика  устраняемого «дефицита»); </w:t>
      </w:r>
      <w:r w:rsidRPr="00FB11D8">
        <w:rPr>
          <w:rFonts w:ascii="Times New Roman" w:hAnsi="Times New Roman" w:cs="Times New Roman"/>
          <w:i/>
          <w:color w:val="000000"/>
          <w:sz w:val="28"/>
          <w:szCs w:val="28"/>
        </w:rPr>
        <w:t>этапы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данном разделе закрепляются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зоны ответственности (общие и персональные) наставников 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инаставляемых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 в случае надобности и куратора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 наставников, наставляемых и законных представителей наставляемых</w:t>
      </w:r>
      <w:r w:rsidR="002335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случае, если участник программы несовершеннолетний;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особенности выбора и назначения наставник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а(</w:t>
      </w:r>
      <w:proofErr w:type="spellStart"/>
      <w:proofErr w:type="gramEnd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  <w:r w:rsidR="002335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>в виде критериев эффективности работы наставника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наставляемого и школы.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Результаты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быть направлены на достижение наставляемым компетенций, указанным в квалификационных характеристиках педагога, личностном профиле обучаемого и других требований, раскрытых в нормативных документах. </w:t>
      </w:r>
      <w:proofErr w:type="gramEnd"/>
    </w:p>
    <w:p w:rsidR="005873A0" w:rsidRPr="00DB7C17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реализации программы по наставничеству является </w:t>
      </w:r>
      <w:proofErr w:type="gramStart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высокий</w:t>
      </w:r>
      <w:proofErr w:type="gramEnd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873A0" w:rsidRDefault="005873A0" w:rsidP="005873A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уровень включенности Наставляемого лица в педагогическую деятельность,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культурную жиз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нь образовательной организации,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усиление уверенности в собственных силах и развитие личного, творческого и педагогического потенциалов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5873A0" w:rsidRPr="00DB7C17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Измеримыми результатами реализации программы наставничества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например,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 </w:t>
      </w:r>
    </w:p>
    <w:p w:rsidR="005873A0" w:rsidRPr="00DB7C17" w:rsidRDefault="005873A0" w:rsidP="005873A0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повышение уровня   удовлетворенности всех участников программы по наставничеству собственной работой и улучшение </w:t>
      </w:r>
      <w:proofErr w:type="spellStart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психоэмоционального</w:t>
      </w:r>
      <w:proofErr w:type="spellEnd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состояния;  </w:t>
      </w:r>
    </w:p>
    <w:p w:rsidR="005873A0" w:rsidRPr="00DB7C17" w:rsidRDefault="005873A0" w:rsidP="005873A0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 числа специалистов, желающих продолжать свою работу в качестве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педагога в данном коллективе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 </w:t>
      </w:r>
    </w:p>
    <w:p w:rsidR="005873A0" w:rsidRPr="00DB7C17" w:rsidRDefault="005873A0" w:rsidP="005873A0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качественный рост успеваемости и улучшение поведения в классах (группах), с которыми работает Наставляемое лицо;  </w:t>
      </w:r>
    </w:p>
    <w:p w:rsidR="005873A0" w:rsidRPr="00DB7C17" w:rsidRDefault="005873A0" w:rsidP="005873A0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5873A0" w:rsidRPr="00DB7C17" w:rsidRDefault="005873A0" w:rsidP="005873A0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побед обучающихся, подготовленных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 т.п.;</w:t>
      </w:r>
    </w:p>
    <w:p w:rsidR="005873A0" w:rsidRPr="00DB7C17" w:rsidRDefault="005873A0" w:rsidP="005873A0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участие </w:t>
      </w:r>
      <w:proofErr w:type="gramStart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наставляемого</w:t>
      </w:r>
      <w:proofErr w:type="gramEnd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мероприятиях за рамками образовательной организации, усиливающих роль/статус последней.  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наставник-наставляемый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>раскрывает:</w:t>
      </w:r>
    </w:p>
    <w:p w:rsidR="005873A0" w:rsidRPr="000A36BC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мероприятий по взаимодействию пары;</w:t>
      </w:r>
    </w:p>
    <w:p w:rsidR="005873A0" w:rsidRPr="000A36BC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наставника;</w:t>
      </w:r>
    </w:p>
    <w:p w:rsidR="005873A0" w:rsidRPr="000A36BC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план работы </w:t>
      </w:r>
      <w:proofErr w:type="gramStart"/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наставляемого</w:t>
      </w:r>
      <w:proofErr w:type="gramEnd"/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873A0" w:rsidRPr="000A36BC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sz w:val="28"/>
          <w:szCs w:val="28"/>
        </w:rPr>
        <w:t xml:space="preserve">план работы лица, </w:t>
      </w: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5873A0" w:rsidRPr="002536AE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сроки отчетности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наставляемого,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наставника и куратора о процессе реализации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программы.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 w:rsidR="002335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92D2F">
        <w:rPr>
          <w:rFonts w:ascii="Times New Roman" w:hAnsi="Times New Roman" w:cs="Times New Roman"/>
          <w:iCs/>
          <w:color w:val="000000"/>
          <w:sz w:val="28"/>
          <w:szCs w:val="28"/>
        </w:rPr>
        <w:t>Здесь раскрываются:</w:t>
      </w:r>
    </w:p>
    <w:p w:rsidR="005873A0" w:rsidRPr="000B4ACD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4ACD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</w:t>
      </w:r>
      <w:proofErr w:type="spellStart"/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сайтеобразовательной</w:t>
      </w:r>
      <w:proofErr w:type="spellEnd"/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наставничества.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6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документов, регламентирующих реализацию 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программынаставничества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873A0" w:rsidRPr="000A36BC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873A0" w:rsidRPr="00592D2F" w:rsidRDefault="005873A0" w:rsidP="002335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настоящее Положение; 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приказ руководит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еля образовательной организации (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и/или  представителя организации бизнес-партнера, предприятия реального сектора экономики или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социальной сферы)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назначении наставников; 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соглашения между наставником и наставляемым, а также законными</w:t>
      </w:r>
      <w:r w:rsidR="002335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представителями наставляемого в случае, если участник программы несовершеннолетний; 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</w:p>
    <w:p w:rsidR="005873A0" w:rsidRPr="00592D2F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1 </w:t>
      </w:r>
    </w:p>
    <w:p w:rsidR="005873A0" w:rsidRPr="000B4ACD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Cs/>
          <w:color w:val="000000"/>
          <w:sz w:val="28"/>
          <w:szCs w:val="28"/>
        </w:rPr>
        <w:t>Титульный лист Программы наставничества (образец)</w:t>
      </w: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73A0" w:rsidRPr="000B4ACD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5873A0" w:rsidRPr="000B4ACD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5873A0" w:rsidTr="00167A36">
        <w:tc>
          <w:tcPr>
            <w:tcW w:w="3284" w:type="dxa"/>
          </w:tcPr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5873A0" w:rsidRDefault="005873A0" w:rsidP="00167A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5873A0" w:rsidRDefault="005873A0" w:rsidP="00167A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Pr="000B4ACD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3A0" w:rsidRPr="00E2457C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5873A0" w:rsidRPr="000B4ACD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5873A0" w:rsidRPr="000B4ACD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5873A0" w:rsidRDefault="005873A0" w:rsidP="005873A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73A0" w:rsidRPr="000B4ACD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873A0" w:rsidRDefault="005873A0" w:rsidP="005873A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</w:p>
    <w:p w:rsidR="00E2457C" w:rsidRPr="005873A0" w:rsidRDefault="00E2457C" w:rsidP="005873A0">
      <w:pPr>
        <w:rPr>
          <w:szCs w:val="28"/>
        </w:rPr>
      </w:pPr>
    </w:p>
    <w:sectPr w:rsidR="00E2457C" w:rsidRPr="005873A0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3241B8"/>
    <w:multiLevelType w:val="hybridMultilevel"/>
    <w:tmpl w:val="E9225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228"/>
    <w:rsid w:val="00073461"/>
    <w:rsid w:val="000A36BC"/>
    <w:rsid w:val="000B4ACD"/>
    <w:rsid w:val="00151DE9"/>
    <w:rsid w:val="001677F8"/>
    <w:rsid w:val="0023353D"/>
    <w:rsid w:val="002536AE"/>
    <w:rsid w:val="002E6595"/>
    <w:rsid w:val="00372E75"/>
    <w:rsid w:val="00383045"/>
    <w:rsid w:val="003E73F8"/>
    <w:rsid w:val="005332AD"/>
    <w:rsid w:val="0058416D"/>
    <w:rsid w:val="005873A0"/>
    <w:rsid w:val="00592D2F"/>
    <w:rsid w:val="00596228"/>
    <w:rsid w:val="005C41C7"/>
    <w:rsid w:val="00674B75"/>
    <w:rsid w:val="006A1A93"/>
    <w:rsid w:val="006B3043"/>
    <w:rsid w:val="007040B5"/>
    <w:rsid w:val="007607DA"/>
    <w:rsid w:val="00762164"/>
    <w:rsid w:val="00775F61"/>
    <w:rsid w:val="00785A3B"/>
    <w:rsid w:val="0083532B"/>
    <w:rsid w:val="00847019"/>
    <w:rsid w:val="00892AB0"/>
    <w:rsid w:val="008D0591"/>
    <w:rsid w:val="009900C8"/>
    <w:rsid w:val="009A1130"/>
    <w:rsid w:val="009C55F0"/>
    <w:rsid w:val="00A67587"/>
    <w:rsid w:val="00AD79B1"/>
    <w:rsid w:val="00B0735A"/>
    <w:rsid w:val="00B36B3A"/>
    <w:rsid w:val="00B94953"/>
    <w:rsid w:val="00BC75F0"/>
    <w:rsid w:val="00BE6B89"/>
    <w:rsid w:val="00C0014B"/>
    <w:rsid w:val="00C0696D"/>
    <w:rsid w:val="00C33B04"/>
    <w:rsid w:val="00C472F2"/>
    <w:rsid w:val="00C83DE1"/>
    <w:rsid w:val="00D71A98"/>
    <w:rsid w:val="00D760D1"/>
    <w:rsid w:val="00D9785F"/>
    <w:rsid w:val="00DB7C17"/>
    <w:rsid w:val="00DC26E7"/>
    <w:rsid w:val="00E2457C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B07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Учитель</cp:lastModifiedBy>
  <cp:revision>11</cp:revision>
  <cp:lastPrinted>2021-06-18T02:05:00Z</cp:lastPrinted>
  <dcterms:created xsi:type="dcterms:W3CDTF">2021-06-17T07:11:00Z</dcterms:created>
  <dcterms:modified xsi:type="dcterms:W3CDTF">2021-08-10T01:01:00Z</dcterms:modified>
</cp:coreProperties>
</file>